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VVRSST v Ustí nad Orlicí rozhodl vyplatit oddíl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ům kteř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se starají o mláde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 finančn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ohodnocení.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Mláde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 hraj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ící krajské a regionální sout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ěže dorostu a žactva družtev,za sezonu 2016-17.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Plnou taxu 150 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 dostanou všichni hr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co mají odhráno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 sout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ěži družstev  33% a vice.Ostatn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registrovaná mláde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 50Kč.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Na Valné hromad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ě mě nahl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ásíte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ísla u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čtů ,pot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é Vám bude finan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obnos odeslán.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Žamberk         1700 Kč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Choce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ň           1600  Kč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Ustí n.O          1850 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Lan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škroun      1900 Kč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Č.Třebov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       1400 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Sudslava         1150K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Řetov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             950K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Zál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                 950 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Orlice                850 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Neko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                750 Kč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Hnátnice           600K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Mistrovice        650K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                                                                   Kr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áliky              100K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 m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áte k dobru na p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sezonu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Orel V.Mýto     100K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                    "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Sestavil vedoucí sout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 Schejbal Josef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           Schválil                                                                    p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ředseda svazu   Sebetka Karel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Ustí nad Orlicí   29.8.2017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